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0"/>
        </w:rPr>
        <w:t>  </w:t>
      </w: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Статистическая информация по администрации </w:t>
      </w:r>
      <w:proofErr w:type="spellStart"/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Талажанского</w:t>
      </w:r>
      <w:proofErr w:type="spellEnd"/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сельсовета</w:t>
      </w:r>
      <w:r w:rsidRPr="00E04581">
        <w:rPr>
          <w:rFonts w:ascii="Helvetica" w:eastAsia="Times New Roman" w:hAnsi="Helvetica" w:cs="Helvetica"/>
          <w:color w:val="333333"/>
          <w:sz w:val="27"/>
          <w:szCs w:val="27"/>
          <w:shd w:val="clear" w:color="auto" w:fill="F6F8F9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                              </w:t>
      </w:r>
      <w:r w:rsidRPr="00E04581">
        <w:rPr>
          <w:rFonts w:ascii="Helvetica" w:eastAsia="Times New Roman" w:hAnsi="Helvetica" w:cs="Helvetica"/>
          <w:b/>
          <w:bCs/>
          <w:color w:val="333333"/>
          <w:sz w:val="20"/>
        </w:rPr>
        <w:t> НАСЕЛЕНИЕ на 01.01.2019г</w:t>
      </w:r>
    </w:p>
    <w:tbl>
      <w:tblPr>
        <w:tblW w:w="72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5"/>
        <w:gridCol w:w="3235"/>
        <w:gridCol w:w="1815"/>
        <w:gridCol w:w="1815"/>
      </w:tblGrid>
      <w:tr w:rsidR="00E04581" w:rsidRPr="00E04581" w:rsidTr="00E04581">
        <w:tc>
          <w:tcPr>
            <w:tcW w:w="3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хозяйств</w:t>
            </w:r>
          </w:p>
        </w:tc>
      </w:tr>
      <w:tr w:rsidR="00E04581" w:rsidRPr="00E04581" w:rsidTr="00E04581">
        <w:tc>
          <w:tcPr>
            <w:tcW w:w="3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4581" w:rsidRPr="00E04581" w:rsidTr="00E04581">
        <w:tc>
          <w:tcPr>
            <w:tcW w:w="3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елкановка</w:t>
            </w:r>
            <w:proofErr w:type="spellEnd"/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E04581" w:rsidRPr="00E04581" w:rsidTr="00E04581">
        <w:tc>
          <w:tcPr>
            <w:tcW w:w="3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7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172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                               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                                     </w:t>
      </w:r>
      <w:r w:rsidRPr="00E04581">
        <w:rPr>
          <w:rFonts w:ascii="Helvetica" w:eastAsia="Times New Roman" w:hAnsi="Helvetica" w:cs="Helvetica"/>
          <w:b/>
          <w:bCs/>
          <w:color w:val="333333"/>
          <w:sz w:val="20"/>
        </w:rPr>
        <w:t>  Численность населения на 01.01.2018г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0"/>
        </w:rPr>
        <w:t> </w:t>
      </w:r>
    </w:p>
    <w:tbl>
      <w:tblPr>
        <w:tblW w:w="381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4"/>
        <w:gridCol w:w="1601"/>
        <w:gridCol w:w="1386"/>
        <w:gridCol w:w="469"/>
      </w:tblGrid>
      <w:tr w:rsidR="00E04581" w:rsidRPr="00E04581" w:rsidTr="00E04581">
        <w:tc>
          <w:tcPr>
            <w:tcW w:w="34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населенные пункты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населения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581" w:rsidRPr="00E04581" w:rsidTr="00E04581">
        <w:tc>
          <w:tcPr>
            <w:tcW w:w="34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581" w:rsidRPr="00E04581" w:rsidTr="00E04581">
        <w:tc>
          <w:tcPr>
            <w:tcW w:w="34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елкановка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581" w:rsidRPr="00E04581" w:rsidTr="00E04581">
        <w:tc>
          <w:tcPr>
            <w:tcW w:w="34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735" w:type="dxa"/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Times New Roman" w:eastAsia="Times New Roman" w:hAnsi="Times New Roman" w:cs="Times New Roman"/>
          <w:color w:val="333333"/>
          <w:sz w:val="20"/>
          <w:szCs w:val="20"/>
        </w:rPr>
        <w:t>                                                    </w:t>
      </w:r>
      <w:r w:rsidRPr="00E04581">
        <w:rPr>
          <w:rFonts w:ascii="Times New Roman" w:eastAsia="Times New Roman" w:hAnsi="Times New Roman" w:cs="Times New Roman"/>
          <w:color w:val="333333"/>
          <w:sz w:val="27"/>
          <w:szCs w:val="27"/>
        </w:rPr>
        <w:t>Численность населения на 01.01.2017г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Times New Roman" w:eastAsia="Times New Roman" w:hAnsi="Times New Roman" w:cs="Times New Roman"/>
          <w:color w:val="333333"/>
          <w:sz w:val="20"/>
          <w:szCs w:val="20"/>
        </w:rPr>
        <w:t> </w:t>
      </w:r>
    </w:p>
    <w:tbl>
      <w:tblPr>
        <w:tblW w:w="108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2"/>
        <w:gridCol w:w="2463"/>
        <w:gridCol w:w="3229"/>
        <w:gridCol w:w="4596"/>
      </w:tblGrid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46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сельсовета, сельских населенных пунктов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постоянного населения, человек</w:t>
            </w:r>
          </w:p>
        </w:tc>
        <w:tc>
          <w:tcPr>
            <w:tcW w:w="459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 На 1 января 2017года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304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елкановка</w:t>
            </w:r>
            <w:proofErr w:type="spellEnd"/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 34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04581" w:rsidRPr="00E04581" w:rsidTr="00E04581"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 338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Times New Roman" w:eastAsia="Times New Roman" w:hAnsi="Times New Roman" w:cs="Times New Roman"/>
          <w:color w:val="333333"/>
          <w:sz w:val="27"/>
          <w:szCs w:val="27"/>
        </w:rPr>
        <w:t>Численность населения на 01.01.2016год  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0"/>
          <w:szCs w:val="20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1105"/>
        <w:gridCol w:w="1697"/>
        <w:gridCol w:w="1522"/>
        <w:gridCol w:w="1599"/>
        <w:gridCol w:w="1530"/>
      </w:tblGrid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населенные пункты сельсовета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дворов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население 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01.01.2016г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женщин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 в том числе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алажанка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84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303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153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150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57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елкановка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21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5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100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340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174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166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62</w:t>
            </w:r>
          </w:p>
        </w:tc>
      </w:tr>
    </w:tbl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Times New Roman" w:eastAsia="Times New Roman" w:hAnsi="Times New Roman" w:cs="Times New Roman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Численность населения на 01.01.2015 год  </w:t>
      </w:r>
      <w:r w:rsidRPr="00E04581">
        <w:rPr>
          <w:rFonts w:ascii="Helvetica" w:eastAsia="Times New Roman" w:hAnsi="Helvetica" w:cs="Helvetica"/>
          <w:color w:val="333333"/>
          <w:sz w:val="27"/>
          <w:szCs w:val="27"/>
          <w:shd w:val="clear" w:color="auto" w:fill="F6F8F9"/>
        </w:rPr>
        <w:t>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7"/>
        <w:gridCol w:w="1103"/>
        <w:gridCol w:w="1691"/>
        <w:gridCol w:w="1524"/>
        <w:gridCol w:w="1604"/>
        <w:gridCol w:w="1542"/>
      </w:tblGrid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населенные пункты сельсовета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дворов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01.01.2015г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женщин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мужчин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в том числе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алажанка</w:t>
            </w:r>
            <w:proofErr w:type="spell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елкановка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168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  <w:p w:rsidR="00E04581" w:rsidRPr="00E04581" w:rsidRDefault="00E04581" w:rsidP="00E045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 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Статистическая информация по администрации </w:t>
      </w:r>
      <w:proofErr w:type="spellStart"/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Талажанского</w:t>
      </w:r>
      <w:proofErr w:type="spellEnd"/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 xml:space="preserve"> сельсовета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Численность населения на 01.01.2014 год </w:t>
      </w:r>
    </w:p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18"/>
        <w:gridCol w:w="1105"/>
        <w:gridCol w:w="1697"/>
        <w:gridCol w:w="1522"/>
        <w:gridCol w:w="1599"/>
        <w:gridCol w:w="1530"/>
      </w:tblGrid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населенные пункты сельсовета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дворов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население 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на</w:t>
            </w:r>
            <w:proofErr w:type="gramEnd"/>
          </w:p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01.01.2014г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женщин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мужчин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детей в том числе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.Т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алажанка</w:t>
            </w:r>
            <w:proofErr w:type="spell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86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301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147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154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63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д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.Щ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елкановка</w:t>
            </w:r>
            <w:proofErr w:type="spellEnd"/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4</w:t>
            </w:r>
          </w:p>
        </w:tc>
      </w:tr>
      <w:tr w:rsidR="00E04581" w:rsidRPr="00E04581" w:rsidTr="00E04581"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104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339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167</w:t>
            </w:r>
          </w:p>
        </w:tc>
        <w:tc>
          <w:tcPr>
            <w:tcW w:w="1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172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04581" w:rsidRPr="00E04581" w:rsidRDefault="00E04581" w:rsidP="00E04581">
            <w:pPr>
              <w:spacing w:after="13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67</w:t>
            </w:r>
          </w:p>
        </w:tc>
      </w:tr>
    </w:tbl>
    <w:p w:rsidR="00E04581" w:rsidRPr="00E04581" w:rsidRDefault="00E04581" w:rsidP="00E04581">
      <w:pPr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Население на 01.01.2013г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 населенных пунктах, входящих в состав сельсовета  по состоянию на 01.01.2013 г. проживает  346 человек или 2,9 % от общей численности района. Плотность населения составляет   9  чел.   на  кв./км.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Этнический состав населения -  русские 75 %,  чуваши, немцы, марийцы  25 %. 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i/>
          <w:iCs/>
          <w:color w:val="333333"/>
          <w:sz w:val="27"/>
        </w:rPr>
        <w:t>Динамика численности в разрезе поселений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32"/>
        <w:gridCol w:w="666"/>
        <w:gridCol w:w="666"/>
        <w:gridCol w:w="666"/>
        <w:gridCol w:w="666"/>
      </w:tblGrid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Наименование           населенного пункта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2010г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2011г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2012г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2013г</w:t>
            </w:r>
          </w:p>
        </w:tc>
      </w:tr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Талажанка</w:t>
            </w:r>
            <w:proofErr w:type="spell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 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308</w:t>
            </w:r>
          </w:p>
        </w:tc>
      </w:tr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Щелкановка</w:t>
            </w:r>
            <w:proofErr w:type="spell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38</w:t>
            </w:r>
          </w:p>
        </w:tc>
      </w:tr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Итого                               по сельсовету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346</w:t>
            </w:r>
          </w:p>
        </w:tc>
      </w:tr>
    </w:tbl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По половозрастной структуре преобладает женское население – 180 человек, в том числе трудоспособного возраста – 73 человек; численность мужского населения составляет 166  человек, в том числе трудоспособного возраста – 76 человека.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Число пенсионеров на 01.01.2013 г. составляет  – 52 человека, подростки до 18 лет – 125 человек.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Средняя продолжительность жизни  -  60 лет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i/>
          <w:iCs/>
          <w:color w:val="333333"/>
          <w:sz w:val="27"/>
        </w:rPr>
        <w:t>Показатели   естественного   и   миграционного   движения   населения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25"/>
        <w:gridCol w:w="1531"/>
        <w:gridCol w:w="1380"/>
        <w:gridCol w:w="1078"/>
        <w:gridCol w:w="966"/>
      </w:tblGrid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Годы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Рождаемость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Смертность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Прибыло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Выбыло</w:t>
            </w:r>
          </w:p>
        </w:tc>
      </w:tr>
      <w:tr w:rsidR="00E04581" w:rsidRPr="00E04581" w:rsidTr="00E045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7</w:t>
            </w:r>
          </w:p>
        </w:tc>
      </w:tr>
    </w:tbl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Анализ демографической ситуации показывает, что на территории сельсовета  увеличилась численность населения.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Основными факторами увеличения численности стала  рождаемость и прибытие по программам учителей.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Официальный уровень зарегистрированной безработицы за 2013 год  невысокий и составляет 2,8% (район 6%). При этом скрытый  уровень безработицы составляет 11,1%,  это объясняется тем, что население, имеющее земельные доли не может встать на учет в центре занятости. Кроме того,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значительнаячасть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безработного населения,  имея разовые  заработки, не пытается  найти работу, в свою очередь - пассивность трудоспособного населения, неуверенность в изменения к лучшему  порождает кадровую проблему у лиц, желающих организовать какое-либо производство.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В   структуре занятости населения произошли значительные изменения.  В разы сократилось число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работающих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в общественном сельскохозяйственном производстве, появилось население, работающее вахтовым методом и занятое в лесной отрасли. В связи с отсутствием работы увеличилось число семей, основным источником доходов которых стала  продукция с ЛПХ.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 настоящее время, наибольшая доля (45,5%) занятого населения  приходиться на  бюджетную сферу. 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Уровень жизни населения невысокий и напрямую зависит от заработной  платы,  пенсий,  пособий  и   доходов  от ЛПХ.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Специализация экономики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В 90-е годы прошлого столетия на территории сельсовета работало  1 сельхозпредприятие и лесопункт Казачинского леспромхоза.  Оба предприятия были градообразующими.  В  селе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работал колхоз «имени Х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I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Х партсъезда»,  лесопункт  по переработке и </w:t>
      </w: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 xml:space="preserve">вывозке  леса  работал в д.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Щелкановка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 Села жили, процветали, население  прибавлялось за счет приезжающих на работу семей.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 годами  сельхозпредприятие пришло в упадок, произошло 2 реорганизации. На базе колхоза сначала была создана  сельхозартель «Заря», затем было создано  МУСП «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», оба предприятия существовали не долго.  После закрытия лесопункта в 1998 году и практически прекращения деятельности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МУСПа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люди лишились рабочего места и  заработка.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В настоящее время на территории сельсовета  зарегистрировано и осуществляют   деятельность  7 организаций, из них:   6 организаций бюджетной сферы и  ИП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Манастыршин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, занимающийся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сельхоздеятельностью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и заготовкой древесины,  в том числе дровяной.  </w:t>
      </w:r>
      <w:proofErr w:type="gramEnd"/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Уровень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самозанятости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населения  на территории сельсовета составляет  12,5%.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Личные подсобные хозяйства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Личное подсобное  хозяйство имеет большая часть населения (около 70%).  В личных подсобных хозяйствах традиционно  занимаются выращиванием картофеля и овощей, разведением КРС, лошадей, овец и домашней птицы. Небольшое число населения содержит коз, пчел.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Число ЛПХ  по состоянию на 01.01.2013 года составило 80 . В сравнении с 2012 годом  их число сократилось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 .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Причиной сокращения ЛПХ является падение интереса населения к ведению ЛПХ из-за ежегодного повышения цен на ГСМ и отсутствия стабильной системы сбыта сельскохозяйственной продукции.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Численность поголовья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65"/>
        <w:gridCol w:w="666"/>
      </w:tblGrid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Наименование показателя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2013г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Крупный рогатый скот – всего: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80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В том числе: коровы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34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Овцы всех пород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47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Лошади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10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Свиньи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131</w:t>
            </w:r>
          </w:p>
        </w:tc>
      </w:tr>
      <w:tr w:rsidR="00E04581" w:rsidRPr="00E04581" w:rsidTr="00E04581">
        <w:tc>
          <w:tcPr>
            <w:tcW w:w="2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Птиц</w:t>
            </w:r>
            <w:proofErr w:type="gram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а(</w:t>
            </w:r>
            <w:proofErr w:type="gram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куры, гуси, </w:t>
            </w:r>
            <w:proofErr w:type="spellStart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индоутки</w:t>
            </w:r>
            <w:proofErr w:type="spellEnd"/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)</w:t>
            </w:r>
          </w:p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 </w:t>
            </w:r>
          </w:p>
        </w:tc>
        <w:tc>
          <w:tcPr>
            <w:tcW w:w="3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E04581" w:rsidRPr="00E04581" w:rsidRDefault="00E04581" w:rsidP="00E04581">
            <w:pPr>
              <w:spacing w:after="135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4581">
              <w:rPr>
                <w:rFonts w:ascii="Times New Roman" w:eastAsia="Times New Roman" w:hAnsi="Times New Roman" w:cs="Times New Roman"/>
                <w:sz w:val="27"/>
                <w:szCs w:val="27"/>
              </w:rPr>
              <w:t>297</w:t>
            </w:r>
          </w:p>
        </w:tc>
      </w:tr>
    </w:tbl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Площадь сельскохозяйственных угодий, используемых ЛПХ, на протяжении последних лет остается неизменной  и  составляет  на 01.01.2013 г.  – 28,13 га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.</w:t>
      </w:r>
      <w:proofErr w:type="gramEnd"/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Для поддержки и развития ЛПХ в селе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действует пункт искусственного осеменения.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Торговля и сфера услуг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Работа магазинов осуществляется индивидуальными предпринимателями в обоих населенных пунктах. Население полностью обеспечено товарами первой необходимости,  за остальными товарами вынуждено ездить в районный и  краевой   центр.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  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Жилищный фонд и водоснабжение</w:t>
      </w:r>
    </w:p>
    <w:p w:rsidR="00E04581" w:rsidRPr="00E04581" w:rsidRDefault="00E04581" w:rsidP="00E04581">
      <w:pPr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Жилье в основном частное. Муниципальный жилищный фонд составляют 24 квартиры.  Кроме того, имеется жилищный фонд бывшего колхоза-банкрота «</w:t>
      </w:r>
      <w:proofErr w:type="spellStart"/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XIX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партсъезд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», который в настоящее время считается бесхозным.  Весь жилищный фонд  деревянный, одноэтажный, представлен одно и двухквартирными домами, благоустроенного жилья нет.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50% имеющегося жилищного фонда  и муниципального и колхозного хоть сегодня из-за его технического состояния можно признать ветхим.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Население обоих населенных пунктов, в свое время, когда была уверенность в завтрашнем дне - работа и стабильная зарплата, целыми улицами строили дома (1980 - 1990 гг.). В настоящее время  индивидуальное жилищное строительство не ведется.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По состоянию на 01.01.2013 год 1 семья нуждается в улучшение жилищных условий, при этом их число будет расти, из-за ветхости жилищного фонда.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Отопление  печное, центральное отопление отсутствует.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Имеющиеся муниципальные тепловые сети (0,3 км.) отапливают только социальную сферу: школу, медпункт, детсад, сельсовет,  магазин.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В котельной требуется частичная замена оборудования, тепловые сети требуют капитального ремонта.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Водоснабжение населенных пунктов и организаций, расположенных на территории сельсовета  осуществляется из 4-х  одиночных скважин для хозяйственно-питьевого и производственно-хозяйственного назначения,  а также из частных колодцев (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д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.Щ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елкановка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 глубины 12 метров). Население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Талажанки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пользуется  1колодцем (с глубины 15 метров), водонапорная башня  в селе обслуживает только 1 улицу, но не посредством водопровода, жители улицы  набирают  воду  из крана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башни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и носится вручную.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Транспортная инфраструктура  и связь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Общая протяженность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внутрипоселенческих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дорог  составляет  8 км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..  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Дороги как внутри населенных пунктов, так и между поселениями  грунтово-гравийного исполнения,  дорог с асфальтовым покрытием нет.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Недостаток финансовых средств в местном бюджете не позволяет содержать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внутрипоселенческую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дорожную сеть в удовлетворительном состоянии, проводить своевременные ремонтные работы.  С  целью поддержания дорожной сети  проводиться только ежегодное профилирование дорог.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После дождей дороги по отдельным улицам размываются, становятся труднодоступными не только для автотранспорта, но и для людей. В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связи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 чем требуется срочный капитальный ремонт дорог.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Доставку населения в районный центр осуществляет Государственное предприятие «Казачинское АТП». 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Пассажироперевозки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осуществляются каждый день, кроме воскресенья, чем обеспечивается доступность услуг социального характера. Для создания условий   населению при ожидании общественного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транспортав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селах нужно построит  автобусные остановки.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Отделения  почтовой связи на территории нет, население поселений обслуживается  1-м почтальоном  соседнего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Вороковского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почтового отделения.  Связь на территории обеспечивают ОАО «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Сибирьтелеком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»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( 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три стационарных телефона в с.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и радиотелефон в д.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Щелкановка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)  и оператор сотовой связи «ЕТК», «МТС», «Мегафон»,  при этом сотовая связь   низкого качества. Низкий уровень  телефонизации объясняется тем, что в свое врем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я(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когда на установку телефонов была очередь)  телефонный кабель был заложен только на установку двух телефонов. В связи с введением сотовой связи  потребность у населения отпала.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В июле 2006 года в обоих населенных пунктах была установлена таксофонная связь «Искра».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Основные направления, требующие проведения работ по обеспечению экологической безопасности и охраны окружающей среды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Водоснабжение  – в связи с тем, что для потребления используется вода из первого  водоносного  слоя,  с глубины 12-15 метров,   качество воды очень плохое. Доступ к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водоисточникам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не исключает  проникновения посторонних лиц, животных, грязи и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пыли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.В</w:t>
      </w:r>
      <w:proofErr w:type="spellEnd"/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качестве первоочередных мер необходимо   защита источников водоснабжения от несанкционированного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доступа,проведение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лабораторных исследований  качества питьевой воды. Для обеспечения населения качественной питьевой водой требуется строительство водопровода.</w:t>
      </w:r>
    </w:p>
    <w:p w:rsidR="00E04581" w:rsidRPr="00E04581" w:rsidRDefault="00E04581" w:rsidP="00E0458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Биологические отходы     -  места захоронения биологических отходов не обустроены в соответствии с действующими ветеринарно-санитарными Правилами, носят стихийный характер,  имеются места  неконтролируемых захоронений. Обеспечение ветеринарно-санитарных требований  поддерживается  только путем  сжигания  трупов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падших животных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в  траншеи,  затем остатки засыпаются землей.</w:t>
      </w:r>
    </w:p>
    <w:p w:rsidR="00E04581" w:rsidRPr="00E04581" w:rsidRDefault="00E04581" w:rsidP="00E04581">
      <w:pPr>
        <w:numPr>
          <w:ilvl w:val="0"/>
          <w:numId w:val="1"/>
        </w:numPr>
        <w:spacing w:before="100" w:beforeAutospacing="1" w:after="100" w:afterAutospacing="1" w:line="270" w:lineRule="atLeast"/>
        <w:ind w:left="375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Утилизация и переработка твердых бытовых отходов–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по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д существующие свалки ТБО оборудованы старые силосные ямы, которые не соответствуют ветеринарным требованиям.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 связи с этим необходимо решить вопросы строительства водопровода, полигона для твердо-бытовых отходов, скотомогильника.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Социальная сфера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Объекты социальной инфраструктуры представлены учреждениями образования, здравоохранения и культуры.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Образование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На территории  сельсовета действует одна  неполная средняя общеобразовательная школа,  в ней обучается  32 человека.    Образовательный процесс ведется по традиционной </w:t>
      </w: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программе обучения. Учащиеся школы принимают активное участие в спортивной жизни района и в районных школьных олимпиадах. Но при школе отсутствует  спортивный двор, в связи с чем, уроки физической культуры проводятся только в спортивном зале школы.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Школа обеспечивает детей горячим одноразовым питанием. Соблюдаются  санитарно – эпидемиологические и противопожарные нормы и правила. Постепенно обновляется учебная мебель, наглядные пособия, учебная и художественная литература. Оборудован компьютерный класс.  Планируется установка  Интернета.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Педагогический состав  школы укомплектован  полностью.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Школа двухэтажная, деревянного исполнения, не соответствующая требованиям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САНПИНа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 Требуется строительство нового хозяйственного склада,  замена ограждения территории школы.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Детский сад  посещает  13 детей.  Кадровый состав укомплектован полностью.   Планово ведутся занятия, интересно проходят утренники посвященные праздникам. В детском саду тепло и уютно. Во дворе имеется игровая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площадка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.З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дание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детского сада  одноэтажное, деревянное.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Оба здания  требуют капитального ремонта. Необходимо построить спортивную площадку, игровые зоны и зоны отдыха на территории школы  и  детского сада. Игровую площадку детского сада необходимо  обустроить новым оборудованием.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Здравоохранение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Население обоих поселений обслуживает  один специалист - фельдшер. Через фельдшерско-акушерский пункт оказывается первичная медицинская помощь. Экстренные вызовы,  доставка больных в центральную районную больницу осуществляется администрацией сельсовета и частными лицами при сопровождении фельдшера. Для получения специализированной помощи больные выезжают в районный и краевой центр.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Здание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ФАПа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кирпичное,  находится в отличном состоянии, ежегодно проводится текущий ремонт, медикаменты поставляются регулярно.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    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Культура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Учреждения культуры имеются в обоих населенных пунктах.  Библиотека имеется только 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с.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 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 xml:space="preserve">Библиотека и 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Талажанский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СДК  располагаются в прекрасном двухэтажном  кирпичном здании. Здание дома культуры на 200 мест, было построено еще колхозом в 1988 году. В СДК организована  работа кружо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к-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музыкального, танцевального и чтецов.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Книжный фонд библиотеки составляет 7 561 экз.,  количество посещений – 260. 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Щелкановский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сельский клуб расположен в одноэтажном деревянном здании, требующем капитального ремонта.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Все мероприятия проводятся в соответствии с календарным планом. Но в мероприятиях в основном  участвуют только дети  и школьники, молодежь и взрослое население активного участия не принимают.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Культурная работа ведется 3 культработниками и 1 библиотекарем.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Материально-техническая база учреждений культуры имеет крайнюю степень износа. Отсутствуют музыкальные инструменты, сценические костюмы, мебель. Доля морально устаревшей литературы в книжном фонде составляет около 50%.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Социальная защита населения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Основная часть населения (73%), проживающего на территории сельсовета, малоимущее население, нуждающееся в социальной помощи и поддержке.  Из общего числа лиц, имеющих право на социальную помощь, значительную часть составляют пенсионеры, инвалиды, многодетные  семьи, семьи с детьми, среднедушевой доход которых ниже величины прожиточного минимума,  а так же  население имеющее доходы ниже прожиточного минимума.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Несмотря на низкие доходы или их отсутствие, часть населения(10%) не пользуется мерами социальной поддержки. Это объясняется нежеланием со стороны нуждающихся собирать документы  на получение субсидий.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Различные виды выделяемой адресной помощи позволяет лишь частично выравнивать несоответствие   реальных доходов части населения прожиточному минимуму.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Основная проблема социального плана:  неудовлетворительные социально-бытовые условия проживания, низкий уровень доходов.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Безопасность территории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lastRenderedPageBreak/>
        <w:t>Охрана общественного порядка на территории сельсовета осуществляется силами Казачинского РОВД.  Территорию обслуживает 1 участковый инспектор. 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Пожарного поста на территории нет, противопожарная защита осуществлялась силами ПЧ-55,  которая находится в с. </w:t>
      </w:r>
      <w:proofErr w:type="spell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Вороковка</w:t>
      </w:r>
      <w:proofErr w:type="spell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 на расстоянии 15  км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.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 xml:space="preserve">  </w:t>
      </w:r>
      <w:proofErr w:type="gramStart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и</w:t>
      </w:r>
      <w:proofErr w:type="gramEnd"/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 силами пожарной дружины администрации сельсовета.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Ежегодно в весенний период из-за перелива реки Кемь прерывается связь с районным центром. В связи с этим на опасных  участках требуется поднятие дорожного полотна и установление дополнительных пропускных сооружений (мостов, дорожных колец).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b/>
          <w:bCs/>
          <w:color w:val="333333"/>
          <w:sz w:val="27"/>
        </w:rPr>
        <w:t>Благоустройство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 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Внешнее состояние (вид) населенных пунктов удовлетворительное за счет большого количества лесных  и кустарниковых насаждений на их территории. В селах довольно широкие улицы, санитарное состояние придомовых территорий постоянно поддерживается самими жителями. Весной и летом хозяева домов делают ремонты заборов, подкрашивают ворота и наличники. В палисадники высаживаются цветы. Не большое количество заброшенных домов и неухоженных дворов не портят  общую картину сел.</w:t>
      </w:r>
    </w:p>
    <w:p w:rsidR="00E04581" w:rsidRPr="00E04581" w:rsidRDefault="00E04581" w:rsidP="00E04581">
      <w:pPr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</w:rPr>
      </w:pPr>
      <w:r w:rsidRPr="00E04581">
        <w:rPr>
          <w:rFonts w:ascii="Helvetica" w:eastAsia="Times New Roman" w:hAnsi="Helvetica" w:cs="Helvetica"/>
          <w:color w:val="333333"/>
          <w:sz w:val="27"/>
          <w:szCs w:val="27"/>
        </w:rPr>
        <w:t>Обеспечено освещение улиц в темное время суток. В пределах финансирования проводится очистка улиц и дорог. Для лучшего ориентирования в населенных пунктах необходимо установить аншлаги с указанием наименования улиц и номеров домов.</w:t>
      </w:r>
    </w:p>
    <w:sectPr w:rsidR="00E04581" w:rsidRPr="00E0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14F2D"/>
    <w:multiLevelType w:val="multilevel"/>
    <w:tmpl w:val="4D1A3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D061A5"/>
    <w:multiLevelType w:val="multilevel"/>
    <w:tmpl w:val="A9AA6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4D3608"/>
    <w:multiLevelType w:val="multilevel"/>
    <w:tmpl w:val="33244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8C107D8"/>
    <w:multiLevelType w:val="multilevel"/>
    <w:tmpl w:val="1B387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F07A24"/>
    <w:multiLevelType w:val="multilevel"/>
    <w:tmpl w:val="3334C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04581"/>
    <w:rsid w:val="00E0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04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0458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E045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04581"/>
    <w:rPr>
      <w:b/>
      <w:bCs/>
    </w:rPr>
  </w:style>
  <w:style w:type="character" w:styleId="a5">
    <w:name w:val="Emphasis"/>
    <w:basedOn w:val="a0"/>
    <w:uiPriority w:val="20"/>
    <w:qFormat/>
    <w:rsid w:val="00E04581"/>
    <w:rPr>
      <w:i/>
      <w:iCs/>
    </w:rPr>
  </w:style>
  <w:style w:type="character" w:styleId="a6">
    <w:name w:val="Hyperlink"/>
    <w:basedOn w:val="a0"/>
    <w:uiPriority w:val="99"/>
    <w:semiHidden/>
    <w:unhideWhenUsed/>
    <w:rsid w:val="00E04581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045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045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529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4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23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54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81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35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73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886590">
                      <w:marLeft w:val="3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8660286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108739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0499264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41925888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0522722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  <w:div w:id="157492702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2440</Words>
  <Characters>13908</Characters>
  <Application>Microsoft Office Word</Application>
  <DocSecurity>0</DocSecurity>
  <Lines>115</Lines>
  <Paragraphs>32</Paragraphs>
  <ScaleCrop>false</ScaleCrop>
  <Company/>
  <LinksUpToDate>false</LinksUpToDate>
  <CharactersWithSpaces>16316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2019-03-06T03:11:00Z</dcterms:created>
  <dcterms:modified xsi:type="dcterms:W3CDTF">2019-03-06T03:13:00Z</dcterms:modified>
</cp:coreProperties>
</file>