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E" w:rsidRPr="00ED3949" w:rsidRDefault="006676EE" w:rsidP="00ED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D3949" w:rsidRDefault="006676EE" w:rsidP="00ED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49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676EE" w:rsidRPr="00ED3949" w:rsidRDefault="00C567B7" w:rsidP="00ED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EE" w:rsidRPr="00ED3949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676EE" w:rsidRDefault="00F35D21" w:rsidP="00ED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</w:t>
      </w:r>
      <w:r w:rsidR="00C567B7" w:rsidRPr="00ED3949">
        <w:rPr>
          <w:rFonts w:ascii="Times New Roman" w:hAnsi="Times New Roman" w:cs="Times New Roman"/>
          <w:b/>
          <w:sz w:val="24"/>
          <w:szCs w:val="24"/>
        </w:rPr>
        <w:t xml:space="preserve">НСКИЙ </w:t>
      </w:r>
      <w:r w:rsidR="006676EE" w:rsidRPr="00ED3949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ED3949" w:rsidRPr="00ED3949" w:rsidRDefault="00ED3949" w:rsidP="00ED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9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D3949" w:rsidRDefault="00ED3949" w:rsidP="00ED3949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76EE" w:rsidRPr="00ED3949" w:rsidRDefault="00FB04DA" w:rsidP="00ED3949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D3949">
        <w:rPr>
          <w:rFonts w:ascii="Times New Roman" w:hAnsi="Times New Roman" w:cs="Times New Roman"/>
          <w:bCs/>
          <w:sz w:val="24"/>
          <w:szCs w:val="24"/>
        </w:rPr>
        <w:t xml:space="preserve"> 16.06.</w:t>
      </w:r>
      <w:r w:rsidR="006676EE" w:rsidRPr="00ED3949">
        <w:rPr>
          <w:rFonts w:ascii="Times New Roman" w:hAnsi="Times New Roman" w:cs="Times New Roman"/>
          <w:bCs/>
          <w:sz w:val="24"/>
          <w:szCs w:val="24"/>
        </w:rPr>
        <w:t xml:space="preserve"> 2023 г.</w:t>
      </w:r>
      <w:r w:rsidR="006676EE" w:rsidRPr="00ED3949">
        <w:rPr>
          <w:rFonts w:ascii="Times New Roman" w:hAnsi="Times New Roman" w:cs="Times New Roman"/>
          <w:bCs/>
          <w:sz w:val="24"/>
          <w:szCs w:val="24"/>
        </w:rPr>
        <w:tab/>
      </w:r>
      <w:r w:rsidR="006676EE" w:rsidRPr="00ED3949">
        <w:rPr>
          <w:rFonts w:ascii="Times New Roman" w:hAnsi="Times New Roman" w:cs="Times New Roman"/>
          <w:bCs/>
          <w:sz w:val="24"/>
          <w:szCs w:val="24"/>
        </w:rPr>
        <w:tab/>
      </w:r>
      <w:r w:rsidR="006676EE" w:rsidRPr="00ED3949">
        <w:rPr>
          <w:rFonts w:ascii="Times New Roman" w:hAnsi="Times New Roman" w:cs="Times New Roman"/>
          <w:bCs/>
          <w:sz w:val="24"/>
          <w:szCs w:val="24"/>
        </w:rPr>
        <w:tab/>
        <w:t>с.</w:t>
      </w:r>
      <w:r w:rsidR="00F3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5D21">
        <w:rPr>
          <w:rFonts w:ascii="Times New Roman" w:hAnsi="Times New Roman" w:cs="Times New Roman"/>
          <w:bCs/>
          <w:sz w:val="24"/>
          <w:szCs w:val="24"/>
        </w:rPr>
        <w:t>Талажанка</w:t>
      </w:r>
      <w:proofErr w:type="spellEnd"/>
      <w:r w:rsidR="006676EE" w:rsidRPr="00ED3949">
        <w:rPr>
          <w:rFonts w:ascii="Times New Roman" w:hAnsi="Times New Roman" w:cs="Times New Roman"/>
          <w:bCs/>
          <w:sz w:val="24"/>
          <w:szCs w:val="24"/>
        </w:rPr>
        <w:t xml:space="preserve">                            №</w:t>
      </w:r>
      <w:r w:rsidR="00C567B7" w:rsidRPr="00ED39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5D21">
        <w:rPr>
          <w:rFonts w:ascii="Times New Roman" w:hAnsi="Times New Roman" w:cs="Times New Roman"/>
          <w:bCs/>
          <w:sz w:val="24"/>
          <w:szCs w:val="24"/>
        </w:rPr>
        <w:t>26-21</w:t>
      </w:r>
      <w:r w:rsidR="00C567B7" w:rsidRPr="00ED394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EE" w:rsidRDefault="006676EE" w:rsidP="00ED39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F35D21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C567B7" w:rsidRPr="00ED3949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C567B7"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>сельского совета депутатов от 2</w:t>
      </w:r>
      <w:r w:rsidR="00F35D21">
        <w:rPr>
          <w:rFonts w:ascii="Times New Roman" w:hAnsi="Times New Roman" w:cs="Times New Roman"/>
          <w:b/>
          <w:bCs/>
          <w:sz w:val="24"/>
          <w:szCs w:val="24"/>
        </w:rPr>
        <w:t>8.11.2019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35D21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«О </w:t>
      </w:r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введении 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>налог</w:t>
      </w:r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физических лиц</w:t>
      </w:r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F35D21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0C4759"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ED39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D3949" w:rsidRP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D3949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ED39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394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0C4759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>Федеральным законом от 26 марта 2022 года</w:t>
      </w:r>
      <w:r w:rsidR="000C4759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>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Федерации», Федеральным законом от 6 октября 2003 года №131-ФЗ «Об общих принципах организации местного самоуправления в Российской Федерации», руководствуясь</w:t>
      </w:r>
      <w:proofErr w:type="gramEnd"/>
      <w:r w:rsidR="000C4759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Талажа</w:t>
      </w:r>
      <w:r w:rsidR="000C4759" w:rsidRPr="00ED394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C4759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Талажан</w:t>
      </w:r>
      <w:r w:rsidR="000C4759" w:rsidRPr="00ED394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C4759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ED3949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ED394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F35D2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EB3E4C" w:rsidRPr="00ED3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bCs/>
          <w:sz w:val="24"/>
          <w:szCs w:val="24"/>
        </w:rPr>
        <w:t>сельского совета депутатов от 2</w:t>
      </w:r>
      <w:r w:rsidR="00F35D21">
        <w:rPr>
          <w:rFonts w:ascii="Times New Roman" w:hAnsi="Times New Roman" w:cs="Times New Roman"/>
          <w:bCs/>
          <w:sz w:val="24"/>
          <w:szCs w:val="24"/>
        </w:rPr>
        <w:t xml:space="preserve">8.11.2019 </w:t>
      </w:r>
      <w:r w:rsidRPr="00ED3949">
        <w:rPr>
          <w:rFonts w:ascii="Times New Roman" w:hAnsi="Times New Roman" w:cs="Times New Roman"/>
          <w:bCs/>
          <w:sz w:val="24"/>
          <w:szCs w:val="24"/>
        </w:rPr>
        <w:t>№ 3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>0</w:t>
      </w:r>
      <w:r w:rsidRPr="00ED3949">
        <w:rPr>
          <w:rFonts w:ascii="Times New Roman" w:hAnsi="Times New Roman" w:cs="Times New Roman"/>
          <w:bCs/>
          <w:sz w:val="24"/>
          <w:szCs w:val="24"/>
        </w:rPr>
        <w:t>-</w:t>
      </w:r>
      <w:r w:rsidR="00F35D21">
        <w:rPr>
          <w:rFonts w:ascii="Times New Roman" w:hAnsi="Times New Roman" w:cs="Times New Roman"/>
          <w:bCs/>
          <w:sz w:val="24"/>
          <w:szCs w:val="24"/>
        </w:rPr>
        <w:t>62</w:t>
      </w:r>
      <w:r w:rsidRPr="00ED3949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 xml:space="preserve"> введении</w:t>
      </w:r>
      <w:r w:rsidRPr="00ED3949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>а</w:t>
      </w:r>
      <w:r w:rsidRPr="00ED3949">
        <w:rPr>
          <w:rFonts w:ascii="Times New Roman" w:hAnsi="Times New Roman" w:cs="Times New Roman"/>
          <w:bCs/>
          <w:sz w:val="24"/>
          <w:szCs w:val="24"/>
        </w:rPr>
        <w:t xml:space="preserve"> на имущество физических лиц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F35D2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EB3E4C" w:rsidRPr="00ED3949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EB3E4C" w:rsidRPr="00ED3949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ED3949">
        <w:rPr>
          <w:rFonts w:ascii="Times New Roman" w:hAnsi="Times New Roman" w:cs="Times New Roman"/>
          <w:bCs/>
          <w:sz w:val="24"/>
          <w:szCs w:val="24"/>
        </w:rPr>
        <w:t>» (далее – Решение) следующие изменения:</w:t>
      </w:r>
    </w:p>
    <w:p w:rsidR="00C567B7" w:rsidRPr="00ED3949" w:rsidRDefault="00C567B7" w:rsidP="00ED394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3949">
        <w:rPr>
          <w:rFonts w:ascii="Times New Roman" w:hAnsi="Times New Roman" w:cs="Times New Roman"/>
          <w:bCs/>
          <w:sz w:val="24"/>
          <w:szCs w:val="24"/>
        </w:rPr>
        <w:t>Пункт</w:t>
      </w:r>
      <w:r w:rsidR="00ED3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bCs/>
          <w:sz w:val="24"/>
          <w:szCs w:val="24"/>
        </w:rPr>
        <w:t>2 Решения изложить в следующей редакции:</w:t>
      </w:r>
    </w:p>
    <w:p w:rsidR="00C567B7" w:rsidRPr="00ED3949" w:rsidRDefault="00C567B7" w:rsidP="00ED394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3949">
        <w:rPr>
          <w:rFonts w:ascii="Times New Roman" w:hAnsi="Times New Roman" w:cs="Times New Roman"/>
          <w:bCs/>
          <w:sz w:val="24"/>
          <w:szCs w:val="24"/>
        </w:rPr>
        <w:t>2.Налоговые ставки устанавливаются в следующих ра</w:t>
      </w:r>
      <w:r w:rsidR="00ED3949">
        <w:rPr>
          <w:rFonts w:ascii="Times New Roman" w:hAnsi="Times New Roman" w:cs="Times New Roman"/>
          <w:bCs/>
          <w:sz w:val="24"/>
          <w:szCs w:val="24"/>
        </w:rPr>
        <w:t>змерах от кадастровой стоимости</w:t>
      </w:r>
      <w:r w:rsidRPr="00ED394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5833"/>
        <w:gridCol w:w="6"/>
        <w:gridCol w:w="3185"/>
        <w:gridCol w:w="6"/>
      </w:tblGrid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№</w:t>
            </w:r>
          </w:p>
          <w:p w:rsidR="00133892" w:rsidRPr="00ED3949" w:rsidRDefault="00133892" w:rsidP="00ED3949">
            <w:pPr>
              <w:pStyle w:val="Default"/>
              <w:jc w:val="both"/>
            </w:pPr>
            <w:r w:rsidRPr="00ED3949">
              <w:t>п/п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 xml:space="preserve">Объект налогообложения 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Налоговая ставка</w:t>
            </w:r>
          </w:p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(в процентах)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1.1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 xml:space="preserve">жилой дом (часть жилого дома); 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0,3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1.2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квартира (часть квартиры);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0,15</w:t>
            </w:r>
          </w:p>
        </w:tc>
      </w:tr>
      <w:tr w:rsidR="00133892" w:rsidRPr="00ED3949" w:rsidTr="00537009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1.3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92" w:rsidRPr="00ED3949" w:rsidRDefault="00ED3949" w:rsidP="00ED3949">
            <w:pPr>
              <w:pStyle w:val="Default"/>
            </w:pPr>
            <w:r>
              <w:t>квартира (часть квартиры) (</w:t>
            </w:r>
            <w:r w:rsidR="00133892" w:rsidRPr="00ED3949">
              <w:t>до  1 миллиона  рублей (включительно);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92" w:rsidRPr="00ED3949" w:rsidRDefault="00133892" w:rsidP="00ED3949">
            <w:pPr>
              <w:pStyle w:val="Default"/>
            </w:pPr>
            <w:r w:rsidRPr="00ED3949">
              <w:t xml:space="preserve">                       0,15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1.4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комната;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0,15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1.5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1.6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 xml:space="preserve">единый недвижимый комплекс, в состав которого входит хотя бы одно жилое помещение (жилой дом) 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1.7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 xml:space="preserve">гараж, </w:t>
            </w:r>
            <w:proofErr w:type="spellStart"/>
            <w:r w:rsidRPr="00ED3949">
              <w:t>машино-место</w:t>
            </w:r>
            <w:proofErr w:type="gramStart"/>
            <w:r w:rsidRPr="00ED3949">
              <w:t>;в</w:t>
            </w:r>
            <w:proofErr w:type="spellEnd"/>
            <w:proofErr w:type="gramEnd"/>
            <w:r w:rsidRPr="00ED3949">
              <w:t xml:space="preserve"> том ,числе расположенный в объектах налогообложения , указанных в подпункте 2 пункта 2 статьи 406 Налогового кодекса РФ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t>1.8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0,1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133892" w:rsidP="00ED3949">
            <w:pPr>
              <w:pStyle w:val="Default"/>
              <w:jc w:val="both"/>
            </w:pPr>
            <w:r w:rsidRPr="00ED3949">
              <w:lastRenderedPageBreak/>
              <w:t>2</w:t>
            </w:r>
          </w:p>
        </w:tc>
        <w:tc>
          <w:tcPr>
            <w:tcW w:w="6224" w:type="dxa"/>
            <w:gridSpan w:val="2"/>
          </w:tcPr>
          <w:p w:rsidR="00133892" w:rsidRPr="00ED3949" w:rsidRDefault="00ED3949" w:rsidP="00ED3949">
            <w:pPr>
              <w:pStyle w:val="Default"/>
            </w:pPr>
            <w:r>
              <w:t>а также объект налогообложения</w:t>
            </w:r>
            <w:r w:rsidR="00263460" w:rsidRPr="00ED3949">
              <w:t>, включенный в перечень</w:t>
            </w:r>
            <w:proofErr w:type="gramStart"/>
            <w:r w:rsidR="00263460" w:rsidRPr="00ED3949">
              <w:t xml:space="preserve"> ,</w:t>
            </w:r>
            <w:proofErr w:type="gramEnd"/>
            <w:r w:rsidR="00263460" w:rsidRPr="00ED3949">
              <w:t xml:space="preserve">определяемый в соответствии с пунктом 7 статьи 378.2 Налогового кодекса РФ , в отношении объектов налогообложения , предусмотренных абзацем вторым пункта 10 статьи 378.2 Налогового кодекса РФ </w:t>
            </w:r>
          </w:p>
        </w:tc>
        <w:tc>
          <w:tcPr>
            <w:tcW w:w="3379" w:type="dxa"/>
            <w:gridSpan w:val="2"/>
          </w:tcPr>
          <w:p w:rsidR="00133892" w:rsidRPr="00ED3949" w:rsidRDefault="00263460" w:rsidP="00ED3949">
            <w:pPr>
              <w:pStyle w:val="Default"/>
              <w:jc w:val="center"/>
            </w:pPr>
            <w:r w:rsidRPr="00ED3949">
              <w:t>0,1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263460" w:rsidP="00ED3949">
            <w:pPr>
              <w:pStyle w:val="Default"/>
              <w:jc w:val="both"/>
            </w:pPr>
            <w:r w:rsidRPr="00ED3949">
              <w:t>3</w:t>
            </w:r>
            <w:r w:rsidR="00133892" w:rsidRPr="00ED3949">
              <w:t>.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 xml:space="preserve">Объект налогообложения, кадастровая стоимость которого превышает 300 миллионов рублей 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2</w:t>
            </w:r>
          </w:p>
        </w:tc>
      </w:tr>
      <w:tr w:rsidR="00133892" w:rsidRPr="00ED3949" w:rsidTr="00133892">
        <w:tc>
          <w:tcPr>
            <w:tcW w:w="540" w:type="dxa"/>
            <w:gridSpan w:val="2"/>
          </w:tcPr>
          <w:p w:rsidR="00133892" w:rsidRPr="00ED3949" w:rsidRDefault="00263460" w:rsidP="00ED3949">
            <w:pPr>
              <w:pStyle w:val="Default"/>
              <w:jc w:val="both"/>
            </w:pPr>
            <w:r w:rsidRPr="00ED3949">
              <w:t>4</w:t>
            </w:r>
            <w:r w:rsidR="00133892" w:rsidRPr="00ED3949">
              <w:t>.</w:t>
            </w:r>
          </w:p>
        </w:tc>
        <w:tc>
          <w:tcPr>
            <w:tcW w:w="6224" w:type="dxa"/>
            <w:gridSpan w:val="2"/>
          </w:tcPr>
          <w:p w:rsidR="00133892" w:rsidRPr="00ED3949" w:rsidRDefault="00133892" w:rsidP="00ED3949">
            <w:pPr>
              <w:pStyle w:val="Default"/>
            </w:pPr>
            <w:r w:rsidRPr="00ED3949">
              <w:t>Прочие объекты налогообложения</w:t>
            </w:r>
          </w:p>
        </w:tc>
        <w:tc>
          <w:tcPr>
            <w:tcW w:w="3379" w:type="dxa"/>
            <w:gridSpan w:val="2"/>
          </w:tcPr>
          <w:p w:rsidR="00133892" w:rsidRPr="00ED3949" w:rsidRDefault="00133892" w:rsidP="00ED3949">
            <w:pPr>
              <w:pStyle w:val="Default"/>
              <w:jc w:val="center"/>
            </w:pPr>
            <w:r w:rsidRPr="00ED3949">
              <w:t>0,5</w:t>
            </w:r>
          </w:p>
        </w:tc>
      </w:tr>
    </w:tbl>
    <w:p w:rsidR="00C567B7" w:rsidRPr="00ED3949" w:rsidRDefault="00C567B7" w:rsidP="00ED3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1.1. Пункт 3 </w:t>
      </w:r>
      <w:r w:rsidR="00C567B7" w:rsidRPr="00ED3949">
        <w:rPr>
          <w:rFonts w:ascii="Times New Roman" w:hAnsi="Times New Roman" w:cs="Times New Roman"/>
          <w:sz w:val="24"/>
          <w:szCs w:val="24"/>
        </w:rPr>
        <w:t xml:space="preserve"> п.п.3</w:t>
      </w:r>
      <w:r w:rsidR="00263460" w:rsidRPr="00ED3949">
        <w:rPr>
          <w:rFonts w:ascii="Times New Roman" w:hAnsi="Times New Roman" w:cs="Times New Roman"/>
          <w:sz w:val="24"/>
          <w:szCs w:val="24"/>
        </w:rPr>
        <w:t>)</w:t>
      </w:r>
      <w:r w:rsidRPr="00ED3949">
        <w:rPr>
          <w:rFonts w:ascii="Times New Roman" w:hAnsi="Times New Roman" w:cs="Times New Roman"/>
          <w:sz w:val="24"/>
          <w:szCs w:val="24"/>
        </w:rPr>
        <w:t>Решения изложить в следующей редакции:</w:t>
      </w:r>
    </w:p>
    <w:p w:rsidR="006676EE" w:rsidRPr="00ED3949" w:rsidRDefault="006676EE" w:rsidP="00ED39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949">
        <w:rPr>
          <w:rFonts w:ascii="Times New Roman" w:hAnsi="Times New Roman" w:cs="Times New Roman"/>
          <w:sz w:val="24"/>
          <w:szCs w:val="24"/>
        </w:rPr>
        <w:t>«3</w:t>
      </w:r>
      <w:r w:rsidR="00C567B7" w:rsidRPr="00ED3949">
        <w:rPr>
          <w:rFonts w:ascii="Times New Roman" w:hAnsi="Times New Roman" w:cs="Times New Roman"/>
          <w:sz w:val="24"/>
          <w:szCs w:val="24"/>
        </w:rPr>
        <w:t>)</w:t>
      </w:r>
      <w:r w:rsidRPr="00ED3949">
        <w:rPr>
          <w:rFonts w:ascii="Times New Roman" w:hAnsi="Times New Roman" w:cs="Times New Roman"/>
          <w:sz w:val="24"/>
          <w:szCs w:val="24"/>
        </w:rPr>
        <w:t>.</w:t>
      </w:r>
      <w:r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6676EE" w:rsidRPr="00ED3949" w:rsidRDefault="006676EE" w:rsidP="00ED39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</w:t>
      </w:r>
      <w:r w:rsid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</w:t>
      </w:r>
      <w:r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политике.</w:t>
      </w:r>
      <w:r w:rsidR="00F35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460"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(Председатель  комиссии </w:t>
      </w:r>
      <w:r w:rsidR="00F35D21">
        <w:rPr>
          <w:rFonts w:ascii="Times New Roman" w:hAnsi="Times New Roman" w:cs="Times New Roman"/>
          <w:sz w:val="24"/>
          <w:szCs w:val="24"/>
          <w:shd w:val="clear" w:color="auto" w:fill="FFFFFF"/>
        </w:rPr>
        <w:t>Рагозина Т.В.</w:t>
      </w:r>
      <w:r w:rsidR="00263460" w:rsidRPr="00ED39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не ранее чем по истечении одного месяца со дня его официального опубликования в </w:t>
      </w:r>
      <w:r w:rsidR="00263460" w:rsidRPr="00ED3949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ED39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Талажа</w:t>
      </w:r>
      <w:r w:rsidR="00263460" w:rsidRPr="00ED394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263460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>вестник»</w:t>
      </w:r>
      <w:r w:rsidR="00F35D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3949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2023 года.</w:t>
      </w:r>
    </w:p>
    <w:p w:rsid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949" w:rsidRDefault="00ED3949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3460" w:rsidRPr="00ED3949" w:rsidRDefault="006676EE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>Председатель</w:t>
      </w:r>
      <w:r w:rsidR="00263460" w:rsidRPr="00ED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Талажа</w:t>
      </w:r>
      <w:r w:rsidR="00263460" w:rsidRPr="00ED394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</w:p>
    <w:p w:rsidR="006676EE" w:rsidRPr="00ED3949" w:rsidRDefault="006676EE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263460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="00F35D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Т.В</w:t>
      </w:r>
      <w:r w:rsidR="00263460" w:rsidRPr="00ED3949">
        <w:rPr>
          <w:rFonts w:ascii="Times New Roman" w:hAnsi="Times New Roman" w:cs="Times New Roman"/>
          <w:sz w:val="24"/>
          <w:szCs w:val="24"/>
        </w:rPr>
        <w:t>.</w:t>
      </w:r>
      <w:r w:rsidR="00F35D21">
        <w:rPr>
          <w:rFonts w:ascii="Times New Roman" w:hAnsi="Times New Roman" w:cs="Times New Roman"/>
          <w:sz w:val="24"/>
          <w:szCs w:val="24"/>
        </w:rPr>
        <w:t>Рагозина</w:t>
      </w:r>
      <w:proofErr w:type="spellEnd"/>
    </w:p>
    <w:p w:rsidR="00F35D21" w:rsidRDefault="00F35D21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D21" w:rsidRDefault="00F35D21" w:rsidP="00ED39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Талажа</w:t>
      </w:r>
      <w:r w:rsidR="00263460" w:rsidRPr="00ED394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263460" w:rsidRPr="00ED3949">
        <w:rPr>
          <w:rFonts w:ascii="Times New Roman" w:hAnsi="Times New Roman" w:cs="Times New Roman"/>
          <w:sz w:val="24"/>
          <w:szCs w:val="24"/>
        </w:rPr>
        <w:t xml:space="preserve"> </w:t>
      </w:r>
      <w:r w:rsidRPr="00ED3949">
        <w:rPr>
          <w:rFonts w:ascii="Times New Roman" w:hAnsi="Times New Roman" w:cs="Times New Roman"/>
          <w:sz w:val="24"/>
          <w:szCs w:val="24"/>
        </w:rPr>
        <w:t xml:space="preserve">сельсовета                           </w:t>
      </w:r>
      <w:proofErr w:type="spellStart"/>
      <w:r w:rsidR="00F35D21">
        <w:rPr>
          <w:rFonts w:ascii="Times New Roman" w:hAnsi="Times New Roman" w:cs="Times New Roman"/>
          <w:sz w:val="24"/>
          <w:szCs w:val="24"/>
        </w:rPr>
        <w:t>А.А</w:t>
      </w:r>
      <w:r w:rsidR="00535102" w:rsidRPr="00ED3949">
        <w:rPr>
          <w:rFonts w:ascii="Times New Roman" w:hAnsi="Times New Roman" w:cs="Times New Roman"/>
          <w:sz w:val="24"/>
          <w:szCs w:val="24"/>
        </w:rPr>
        <w:t>.</w:t>
      </w:r>
      <w:r w:rsidR="00F35D21">
        <w:rPr>
          <w:rFonts w:ascii="Times New Roman" w:hAnsi="Times New Roman" w:cs="Times New Roman"/>
          <w:sz w:val="24"/>
          <w:szCs w:val="24"/>
        </w:rPr>
        <w:t>Василье</w:t>
      </w:r>
      <w:r w:rsidR="00535102" w:rsidRPr="00ED394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D39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EE" w:rsidRPr="00ED3949" w:rsidRDefault="006676EE" w:rsidP="00ED3949">
      <w:pPr>
        <w:pStyle w:val="3"/>
        <w:spacing w:after="0"/>
        <w:ind w:left="0"/>
        <w:jc w:val="center"/>
        <w:rPr>
          <w:sz w:val="24"/>
          <w:szCs w:val="24"/>
        </w:rPr>
      </w:pPr>
    </w:p>
    <w:p w:rsidR="006676EE" w:rsidRPr="00ED3949" w:rsidRDefault="006676EE" w:rsidP="00ED39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49">
        <w:rPr>
          <w:rFonts w:ascii="Times New Roman" w:hAnsi="Times New Roman" w:cs="Times New Roman"/>
          <w:sz w:val="24"/>
          <w:szCs w:val="24"/>
        </w:rPr>
        <w:tab/>
      </w:r>
    </w:p>
    <w:p w:rsidR="006676EE" w:rsidRPr="00ED3949" w:rsidRDefault="006676EE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573" w:rsidRPr="00ED3949" w:rsidRDefault="00DB4573" w:rsidP="00ED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573" w:rsidRPr="00ED3949" w:rsidSect="00ED39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6EE"/>
    <w:rsid w:val="000C4759"/>
    <w:rsid w:val="00133892"/>
    <w:rsid w:val="001635AC"/>
    <w:rsid w:val="00263460"/>
    <w:rsid w:val="00535102"/>
    <w:rsid w:val="006676EE"/>
    <w:rsid w:val="008824E3"/>
    <w:rsid w:val="00911FAD"/>
    <w:rsid w:val="00C567B7"/>
    <w:rsid w:val="00D55BDB"/>
    <w:rsid w:val="00DB4573"/>
    <w:rsid w:val="00E4688A"/>
    <w:rsid w:val="00EB3E4C"/>
    <w:rsid w:val="00ED3949"/>
    <w:rsid w:val="00F35D2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676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76EE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ault">
    <w:name w:val="Default"/>
    <w:rsid w:val="00C567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C567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0CAFF65D74E9B8DAE8FDBB7634FF5E1A444F679E9F6FEE807314D8D69F0597543DA3793AF3V00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2023-06-29T09:27:00Z</cp:lastPrinted>
  <dcterms:created xsi:type="dcterms:W3CDTF">2023-06-06T05:47:00Z</dcterms:created>
  <dcterms:modified xsi:type="dcterms:W3CDTF">2023-06-29T09:27:00Z</dcterms:modified>
</cp:coreProperties>
</file>